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74C" w:rsidRDefault="007E574C" w:rsidP="007E574C">
      <w:pPr>
        <w:spacing w:line="480" w:lineRule="auto"/>
      </w:pPr>
    </w:p>
    <w:p w:rsidR="007E574C" w:rsidRDefault="007E574C" w:rsidP="007E574C">
      <w:pPr>
        <w:spacing w:line="480" w:lineRule="auto"/>
      </w:pPr>
    </w:p>
    <w:p w:rsidR="00003CCB" w:rsidRPr="007E574C" w:rsidRDefault="00195ECF" w:rsidP="007E574C">
      <w:pPr>
        <w:spacing w:line="480" w:lineRule="auto"/>
        <w:rPr>
          <w:b/>
        </w:rPr>
      </w:pPr>
      <w:r w:rsidRPr="007E574C">
        <w:rPr>
          <w:b/>
        </w:rPr>
        <w:t>#1 17-Year-Old Male</w:t>
      </w:r>
    </w:p>
    <w:p w:rsidR="007E574C" w:rsidRDefault="007E574C" w:rsidP="007E574C">
      <w:pPr>
        <w:spacing w:line="480" w:lineRule="auto"/>
      </w:pPr>
    </w:p>
    <w:p w:rsidR="007E574C" w:rsidRDefault="007E574C" w:rsidP="007E574C">
      <w:pPr>
        <w:spacing w:line="480" w:lineRule="auto"/>
      </w:pPr>
    </w:p>
    <w:p w:rsidR="007E574C" w:rsidRDefault="007E574C" w:rsidP="007E574C">
      <w:pPr>
        <w:spacing w:line="480" w:lineRule="auto"/>
      </w:pPr>
    </w:p>
    <w:p w:rsidR="007E574C" w:rsidRDefault="007E574C" w:rsidP="007E574C">
      <w:pPr>
        <w:spacing w:line="480" w:lineRule="auto"/>
      </w:pPr>
    </w:p>
    <w:p w:rsidR="00C82BA6" w:rsidRDefault="00195ECF" w:rsidP="007E574C">
      <w:pPr>
        <w:spacing w:line="480" w:lineRule="auto"/>
      </w:pPr>
      <w:r>
        <w:t>Name</w:t>
      </w:r>
    </w:p>
    <w:p w:rsidR="00C82BA6" w:rsidRDefault="00195ECF" w:rsidP="007E574C">
      <w:pPr>
        <w:spacing w:line="480" w:lineRule="auto"/>
      </w:pPr>
      <w:r>
        <w:t>Institution of Affiliation</w:t>
      </w:r>
    </w:p>
    <w:p w:rsidR="00C82BA6" w:rsidRDefault="00195ECF" w:rsidP="007E574C">
      <w:pPr>
        <w:spacing w:line="480" w:lineRule="auto"/>
      </w:pPr>
      <w:r>
        <w:t>Professor</w:t>
      </w:r>
    </w:p>
    <w:p w:rsidR="00C82BA6" w:rsidRDefault="00195ECF" w:rsidP="007E574C">
      <w:pPr>
        <w:spacing w:line="480" w:lineRule="auto"/>
      </w:pPr>
      <w:r>
        <w:t>Date</w:t>
      </w: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7E574C" w:rsidRDefault="007E574C" w:rsidP="0045346B">
      <w:pPr>
        <w:spacing w:line="480" w:lineRule="auto"/>
        <w:jc w:val="left"/>
      </w:pPr>
    </w:p>
    <w:p w:rsidR="00C82BA6" w:rsidRPr="007E574C" w:rsidRDefault="00195ECF" w:rsidP="007E574C">
      <w:pPr>
        <w:spacing w:line="480" w:lineRule="auto"/>
        <w:rPr>
          <w:b/>
        </w:rPr>
      </w:pPr>
      <w:r w:rsidRPr="007E574C">
        <w:rPr>
          <w:b/>
        </w:rPr>
        <w:lastRenderedPageBreak/>
        <w:t>#1 17-Year-Old Male</w:t>
      </w:r>
    </w:p>
    <w:p w:rsidR="00C82BA6" w:rsidRPr="0045346B" w:rsidRDefault="00195ECF" w:rsidP="007E574C">
      <w:pPr>
        <w:spacing w:line="480" w:lineRule="auto"/>
        <w:rPr>
          <w:b/>
        </w:rPr>
      </w:pPr>
      <w:r w:rsidRPr="0045346B">
        <w:rPr>
          <w:b/>
        </w:rPr>
        <w:t xml:space="preserve">Pertinent </w:t>
      </w:r>
      <w:r w:rsidR="0045346B" w:rsidRPr="0045346B">
        <w:rPr>
          <w:b/>
        </w:rPr>
        <w:t>Positive and Negative Information</w:t>
      </w:r>
    </w:p>
    <w:p w:rsidR="00C82BA6" w:rsidRDefault="00195ECF" w:rsidP="0045346B">
      <w:pPr>
        <w:spacing w:line="480" w:lineRule="auto"/>
        <w:jc w:val="left"/>
      </w:pPr>
      <w:r>
        <w:t>The patient should be asked if she has any allergic reactions and allergies to anything.</w:t>
      </w:r>
    </w:p>
    <w:p w:rsidR="0045346B" w:rsidRDefault="00195ECF" w:rsidP="0045346B">
      <w:pPr>
        <w:spacing w:line="480" w:lineRule="auto"/>
        <w:jc w:val="left"/>
      </w:pPr>
      <w:r>
        <w:t xml:space="preserve">Any history of </w:t>
      </w:r>
      <w:r>
        <w:t>the same condition in the family</w:t>
      </w:r>
    </w:p>
    <w:p w:rsidR="0045346B" w:rsidRDefault="00195ECF" w:rsidP="0045346B">
      <w:pPr>
        <w:spacing w:line="480" w:lineRule="auto"/>
        <w:jc w:val="left"/>
      </w:pPr>
      <w:r>
        <w:t>What he uses to relieve the itchiness</w:t>
      </w:r>
    </w:p>
    <w:p w:rsidR="0045346B" w:rsidRDefault="00195ECF" w:rsidP="0045346B">
      <w:pPr>
        <w:spacing w:line="480" w:lineRule="auto"/>
        <w:jc w:val="left"/>
      </w:pPr>
      <w:r>
        <w:t>Whether the itchiness has been increasing with time</w:t>
      </w:r>
    </w:p>
    <w:p w:rsidR="0045346B" w:rsidRDefault="00195ECF" w:rsidP="0045346B">
      <w:pPr>
        <w:spacing w:line="480" w:lineRule="auto"/>
        <w:jc w:val="left"/>
      </w:pPr>
      <w:r>
        <w:t>Whether the patient has had a similar illness before and if it was treated or remission was self-limiting</w:t>
      </w:r>
    </w:p>
    <w:p w:rsidR="0045346B" w:rsidRDefault="00195ECF" w:rsidP="0045346B">
      <w:pPr>
        <w:spacing w:line="480" w:lineRule="auto"/>
        <w:jc w:val="left"/>
      </w:pPr>
      <w:r>
        <w:t>If the patient is asthmatic</w:t>
      </w:r>
      <w:r>
        <w:t xml:space="preserve"> or not and if he uses any medication</w:t>
      </w:r>
    </w:p>
    <w:p w:rsidR="0045346B" w:rsidRDefault="00195ECF" w:rsidP="007E574C">
      <w:pPr>
        <w:spacing w:line="480" w:lineRule="auto"/>
        <w:rPr>
          <w:b/>
        </w:rPr>
      </w:pPr>
      <w:r w:rsidRPr="0045346B">
        <w:rPr>
          <w:b/>
        </w:rPr>
        <w:t>Differential and Working Diagnosis</w:t>
      </w:r>
    </w:p>
    <w:p w:rsidR="0045346B" w:rsidRDefault="00195ECF" w:rsidP="0045346B">
      <w:pPr>
        <w:spacing w:line="480" w:lineRule="auto"/>
        <w:jc w:val="left"/>
        <w:rPr>
          <w:b/>
        </w:rPr>
      </w:pPr>
      <w:r>
        <w:rPr>
          <w:b/>
        </w:rPr>
        <w:t>Working diagnosis</w:t>
      </w:r>
    </w:p>
    <w:p w:rsidR="0045346B" w:rsidRPr="0045346B" w:rsidRDefault="00195ECF" w:rsidP="0045346B">
      <w:pPr>
        <w:spacing w:line="480" w:lineRule="auto"/>
        <w:jc w:val="left"/>
      </w:pPr>
      <w:r w:rsidRPr="0045346B">
        <w:t xml:space="preserve">Atopic Dermatitis </w:t>
      </w:r>
    </w:p>
    <w:p w:rsidR="0045346B" w:rsidRPr="0045346B" w:rsidRDefault="00195ECF" w:rsidP="0045346B">
      <w:pPr>
        <w:spacing w:line="480" w:lineRule="auto"/>
        <w:jc w:val="left"/>
        <w:rPr>
          <w:b/>
        </w:rPr>
      </w:pPr>
      <w:r>
        <w:rPr>
          <w:b/>
        </w:rPr>
        <w:t xml:space="preserve">Differential Diagnosis  </w:t>
      </w:r>
    </w:p>
    <w:p w:rsidR="0045346B" w:rsidRDefault="00195ECF" w:rsidP="0045346B">
      <w:pPr>
        <w:spacing w:line="480" w:lineRule="auto"/>
        <w:jc w:val="left"/>
      </w:pPr>
      <w:r>
        <w:t>Scabies</w:t>
      </w:r>
    </w:p>
    <w:p w:rsidR="0045346B" w:rsidRDefault="00195ECF" w:rsidP="0045346B">
      <w:pPr>
        <w:spacing w:line="480" w:lineRule="auto"/>
        <w:jc w:val="left"/>
      </w:pPr>
      <w:r>
        <w:t>Seborrheic Dermatitis</w:t>
      </w:r>
    </w:p>
    <w:p w:rsidR="0045346B" w:rsidRDefault="00195ECF" w:rsidP="0045346B">
      <w:pPr>
        <w:spacing w:line="480" w:lineRule="auto"/>
        <w:jc w:val="left"/>
      </w:pPr>
      <w:r>
        <w:t>Tinea Corporis</w:t>
      </w:r>
    </w:p>
    <w:p w:rsidR="0045346B" w:rsidRDefault="00195ECF" w:rsidP="0045346B">
      <w:pPr>
        <w:spacing w:line="480" w:lineRule="auto"/>
        <w:jc w:val="left"/>
      </w:pPr>
      <w:r>
        <w:t>Mollusca contagiosa with dermatitis</w:t>
      </w:r>
    </w:p>
    <w:p w:rsidR="0045346B" w:rsidRDefault="00195ECF" w:rsidP="0045346B">
      <w:pPr>
        <w:spacing w:line="480" w:lineRule="auto"/>
        <w:jc w:val="left"/>
      </w:pPr>
      <w:r>
        <w:t>Mycosis fungoides</w:t>
      </w:r>
    </w:p>
    <w:p w:rsidR="0045346B" w:rsidRDefault="00195ECF" w:rsidP="0045346B">
      <w:pPr>
        <w:spacing w:line="480" w:lineRule="auto"/>
        <w:jc w:val="left"/>
      </w:pPr>
      <w:r>
        <w:t>Nummular Dermatitis (N</w:t>
      </w:r>
      <w:r>
        <w:t>ummular Eczema)</w:t>
      </w:r>
    </w:p>
    <w:p w:rsidR="0045346B" w:rsidRDefault="00195ECF" w:rsidP="0045346B">
      <w:pPr>
        <w:spacing w:line="480" w:lineRule="auto"/>
        <w:jc w:val="left"/>
      </w:pPr>
      <w:r>
        <w:t>Plaque Psoriasis</w:t>
      </w:r>
    </w:p>
    <w:p w:rsidR="0045346B" w:rsidRDefault="00195ECF" w:rsidP="0045346B">
      <w:pPr>
        <w:spacing w:line="480" w:lineRule="auto"/>
        <w:jc w:val="left"/>
      </w:pPr>
      <w:r w:rsidRPr="0045346B">
        <w:t>Allergic Contact Dermatitis</w:t>
      </w:r>
    </w:p>
    <w:p w:rsidR="00FF5932" w:rsidRPr="00FF5932" w:rsidRDefault="00195ECF" w:rsidP="007E574C">
      <w:pPr>
        <w:spacing w:line="480" w:lineRule="auto"/>
        <w:rPr>
          <w:b/>
        </w:rPr>
      </w:pPr>
      <w:r w:rsidRPr="00FF5932">
        <w:rPr>
          <w:b/>
        </w:rPr>
        <w:t>Treatment Plan</w:t>
      </w:r>
    </w:p>
    <w:p w:rsidR="0045346B" w:rsidRPr="0045346B" w:rsidRDefault="00195ECF" w:rsidP="0045346B">
      <w:pPr>
        <w:spacing w:line="480" w:lineRule="auto"/>
        <w:jc w:val="left"/>
        <w:rPr>
          <w:b/>
        </w:rPr>
      </w:pPr>
      <w:r w:rsidRPr="0045346B">
        <w:rPr>
          <w:b/>
        </w:rPr>
        <w:t>Diagnostics (Labs And Testing)</w:t>
      </w:r>
    </w:p>
    <w:p w:rsidR="0045346B" w:rsidRDefault="00195ECF" w:rsidP="0045346B">
      <w:pPr>
        <w:spacing w:line="480" w:lineRule="auto"/>
        <w:jc w:val="left"/>
      </w:pPr>
      <w:r w:rsidRPr="0045346B">
        <w:lastRenderedPageBreak/>
        <w:t>serum IgE level </w:t>
      </w:r>
    </w:p>
    <w:p w:rsidR="0045346B" w:rsidRDefault="00195ECF" w:rsidP="0045346B">
      <w:pPr>
        <w:spacing w:line="480" w:lineRule="auto"/>
        <w:jc w:val="left"/>
      </w:pPr>
      <w:r>
        <w:t xml:space="preserve">Complete Blood Count and Differential </w:t>
      </w:r>
    </w:p>
    <w:p w:rsidR="0045346B" w:rsidRDefault="00195ECF" w:rsidP="0045346B">
      <w:pPr>
        <w:spacing w:line="480" w:lineRule="auto"/>
        <w:jc w:val="left"/>
      </w:pPr>
      <w:r>
        <w:t>Swab for isolation of microorganisms and antibiotic sensitivity</w:t>
      </w:r>
    </w:p>
    <w:p w:rsidR="0045346B" w:rsidRDefault="00195ECF" w:rsidP="0045346B">
      <w:pPr>
        <w:spacing w:line="480" w:lineRule="auto"/>
        <w:jc w:val="left"/>
      </w:pPr>
      <w:r>
        <w:t xml:space="preserve">Scrapping to exclude tinea </w:t>
      </w:r>
      <w:r>
        <w:t>coporis</w:t>
      </w:r>
    </w:p>
    <w:p w:rsidR="0045346B" w:rsidRDefault="00195ECF" w:rsidP="0045346B">
      <w:pPr>
        <w:spacing w:line="480" w:lineRule="auto"/>
        <w:jc w:val="left"/>
      </w:pPr>
      <w:r>
        <w:t>Histology to show whether it is an acute, subacute, or chronic dermatitis</w:t>
      </w:r>
    </w:p>
    <w:p w:rsidR="00FF5932" w:rsidRDefault="00195ECF" w:rsidP="007E574C">
      <w:pPr>
        <w:spacing w:line="480" w:lineRule="auto"/>
        <w:rPr>
          <w:b/>
        </w:rPr>
      </w:pPr>
      <w:r w:rsidRPr="00FF5932">
        <w:rPr>
          <w:b/>
        </w:rPr>
        <w:t>Pharmacotherapy With Complementary and OTC Therapy</w:t>
      </w:r>
    </w:p>
    <w:p w:rsidR="00FF5932" w:rsidRPr="00FF5932" w:rsidRDefault="00195ECF" w:rsidP="0045346B">
      <w:pPr>
        <w:spacing w:line="480" w:lineRule="auto"/>
        <w:jc w:val="left"/>
        <w:rPr>
          <w:b/>
        </w:rPr>
      </w:pPr>
      <w:r w:rsidRPr="00FF5932">
        <w:rPr>
          <w:b/>
        </w:rPr>
        <w:t>Hydrocortisone ointment</w:t>
      </w:r>
      <w:r>
        <w:rPr>
          <w:b/>
        </w:rPr>
        <w:t xml:space="preserve"> 1%</w:t>
      </w:r>
    </w:p>
    <w:p w:rsidR="00FF5932" w:rsidRDefault="00195ECF" w:rsidP="001C51EA">
      <w:pPr>
        <w:spacing w:line="480" w:lineRule="auto"/>
        <w:ind w:firstLine="720"/>
        <w:jc w:val="left"/>
      </w:pPr>
      <w:r>
        <w:t xml:space="preserve">It provides moisturization and anti-inflammatory effects so that flares are managed. </w:t>
      </w:r>
      <w:r w:rsidRPr="00FF5932">
        <w:t>Decreases i</w:t>
      </w:r>
      <w:r w:rsidRPr="00FF5932">
        <w:t>nflammation by stabilizing leukocyte lysosomal membranes, preventing the release of destructive acid hydrolases from leukocytes</w:t>
      </w:r>
      <w:r w:rsidR="007E574C">
        <w:t xml:space="preserve"> (Wollenberg et al., 2018)</w:t>
      </w:r>
      <w:r>
        <w:t>. It also i</w:t>
      </w:r>
      <w:r w:rsidRPr="00FF5932">
        <w:t>nhibits macrophage accumulation in inflamed areas</w:t>
      </w:r>
      <w:r>
        <w:t xml:space="preserve">. </w:t>
      </w:r>
    </w:p>
    <w:p w:rsidR="00FF5932" w:rsidRPr="00FF5932" w:rsidRDefault="00195ECF" w:rsidP="0045346B">
      <w:pPr>
        <w:spacing w:line="480" w:lineRule="auto"/>
        <w:jc w:val="left"/>
        <w:rPr>
          <w:b/>
        </w:rPr>
      </w:pPr>
      <w:r w:rsidRPr="00FF5932">
        <w:rPr>
          <w:b/>
        </w:rPr>
        <w:t>Hydroxyzine</w:t>
      </w:r>
    </w:p>
    <w:p w:rsidR="00FF5932" w:rsidRDefault="00195ECF" w:rsidP="001C51EA">
      <w:pPr>
        <w:spacing w:line="480" w:lineRule="auto"/>
        <w:ind w:firstLine="720"/>
        <w:jc w:val="left"/>
      </w:pPr>
      <w:r>
        <w:t xml:space="preserve">It is an </w:t>
      </w:r>
      <w:r w:rsidRPr="00FF5932">
        <w:t xml:space="preserve">antihistamine with </w:t>
      </w:r>
      <w:r w:rsidRPr="00FF5932">
        <w:t>antipruritic, anxiolytic, and mild sedative effects</w:t>
      </w:r>
      <w:r w:rsidR="007E574C">
        <w:t xml:space="preserve"> (Saeki et al., 2016)</w:t>
      </w:r>
      <w:r w:rsidRPr="00FF5932">
        <w:t>. It antagonizes H1 receptors in the periphery, and it may suppress histamine activity in the</w:t>
      </w:r>
      <w:r>
        <w:t xml:space="preserve"> subcortical region of the CNS hence relieving itchiness on the patient. </w:t>
      </w:r>
    </w:p>
    <w:p w:rsidR="00FF5932" w:rsidRPr="00FF5932" w:rsidRDefault="00195ECF" w:rsidP="0045346B">
      <w:pPr>
        <w:spacing w:line="480" w:lineRule="auto"/>
        <w:jc w:val="left"/>
        <w:rPr>
          <w:b/>
        </w:rPr>
      </w:pPr>
      <w:r w:rsidRPr="00FF5932">
        <w:rPr>
          <w:b/>
        </w:rPr>
        <w:t xml:space="preserve">Methotrexate </w:t>
      </w:r>
    </w:p>
    <w:p w:rsidR="00FF5932" w:rsidRDefault="00195ECF" w:rsidP="001C51EA">
      <w:pPr>
        <w:spacing w:line="480" w:lineRule="auto"/>
        <w:ind w:firstLine="720"/>
        <w:jc w:val="left"/>
      </w:pPr>
      <w:r>
        <w:t xml:space="preserve">It </w:t>
      </w:r>
      <w:r>
        <w:t>acts by inhibiting dihydrofolic acid reductase; inhibits purine and thymidylic acid synthesis, which in turn interferes with DNA synthesis, repair, and cellular replication; cell cycle-specific for S phase of the cycle</w:t>
      </w:r>
      <w:r w:rsidR="007E574C">
        <w:t xml:space="preserve"> (Saeki et al., 2016)</w:t>
      </w:r>
      <w:r>
        <w:t>. May inhibit rap</w:t>
      </w:r>
      <w:r>
        <w:t xml:space="preserve">id proliferation of epithelial cells in the skin hence reducing the rash formation and itchiness. </w:t>
      </w:r>
    </w:p>
    <w:p w:rsidR="00FF5932" w:rsidRPr="002338F9" w:rsidRDefault="00195ECF" w:rsidP="00FF5932">
      <w:pPr>
        <w:spacing w:line="480" w:lineRule="auto"/>
        <w:jc w:val="left"/>
        <w:rPr>
          <w:b/>
        </w:rPr>
      </w:pPr>
      <w:r w:rsidRPr="002338F9">
        <w:rPr>
          <w:b/>
        </w:rPr>
        <w:t>Cephalexin</w:t>
      </w:r>
    </w:p>
    <w:p w:rsidR="00FF5932" w:rsidRDefault="00195ECF" w:rsidP="001C51EA">
      <w:pPr>
        <w:spacing w:line="480" w:lineRule="auto"/>
        <w:ind w:firstLine="720"/>
        <w:jc w:val="left"/>
      </w:pPr>
      <w:bookmarkStart w:id="0" w:name="_GoBack"/>
      <w:bookmarkEnd w:id="0"/>
      <w:r>
        <w:t>It is an antibiotic that acts by binding</w:t>
      </w:r>
      <w:r w:rsidRPr="00FF5932">
        <w:t xml:space="preserve"> to one or more of the penicillin-binding proteins, which inhibits synthesis of bacterial cell wall</w:t>
      </w:r>
      <w:r w:rsidR="002338F9">
        <w:t xml:space="preserve"> hence preventing multiplication and infection of </w:t>
      </w:r>
      <w:r w:rsidR="002338F9">
        <w:lastRenderedPageBreak/>
        <w:t xml:space="preserve">the rash due to exposure that ensures after breaking of the skin. </w:t>
      </w:r>
    </w:p>
    <w:p w:rsidR="002338F9" w:rsidRPr="002338F9" w:rsidRDefault="00195ECF" w:rsidP="007E574C">
      <w:pPr>
        <w:spacing w:line="480" w:lineRule="auto"/>
        <w:rPr>
          <w:b/>
        </w:rPr>
      </w:pPr>
      <w:r w:rsidRPr="002338F9">
        <w:rPr>
          <w:b/>
        </w:rPr>
        <w:t>Health Education and Lifestyle Changes</w:t>
      </w:r>
    </w:p>
    <w:p w:rsidR="002338F9" w:rsidRDefault="00195ECF" w:rsidP="007E574C">
      <w:pPr>
        <w:spacing w:line="480" w:lineRule="auto"/>
        <w:ind w:firstLine="720"/>
        <w:jc w:val="left"/>
      </w:pPr>
      <w:r>
        <w:t>The patient should avoid any diet that leads to allergic reactions like peanuts, eggs, seafood, and soy, am</w:t>
      </w:r>
      <w:r>
        <w:t>ong others. This would ensure that dermatitis does not occur on the patient.</w:t>
      </w:r>
    </w:p>
    <w:p w:rsidR="002338F9" w:rsidRDefault="00195ECF" w:rsidP="00FF5932">
      <w:pPr>
        <w:spacing w:line="480" w:lineRule="auto"/>
        <w:jc w:val="left"/>
      </w:pPr>
      <w:r>
        <w:t>In addition, the patient should avoid any activity that leads to excessive sweating</w:t>
      </w:r>
      <w:r w:rsidR="007E574C">
        <w:t xml:space="preserve"> (Wollenberg et al., 2018)</w:t>
      </w:r>
      <w:r>
        <w:t>. The patient should also avoid going to places where allergens affect</w:t>
      </w:r>
      <w:r>
        <w:t xml:space="preserve"> him, causing allergic reactions.</w:t>
      </w:r>
    </w:p>
    <w:p w:rsidR="002338F9" w:rsidRPr="002338F9" w:rsidRDefault="00195ECF" w:rsidP="007E574C">
      <w:pPr>
        <w:spacing w:line="480" w:lineRule="auto"/>
        <w:rPr>
          <w:b/>
        </w:rPr>
      </w:pPr>
      <w:r w:rsidRPr="002338F9">
        <w:rPr>
          <w:b/>
        </w:rPr>
        <w:t>Age-Appropriate Preventive Care</w:t>
      </w:r>
    </w:p>
    <w:p w:rsidR="002338F9" w:rsidRDefault="00195ECF" w:rsidP="007E574C">
      <w:pPr>
        <w:spacing w:line="480" w:lineRule="auto"/>
        <w:ind w:firstLine="720"/>
        <w:jc w:val="left"/>
      </w:pPr>
      <w:r>
        <w:t>Avoid any form of allergens that affects him in order to ensure that the reaction does not occur. Avoid associating with peers who would make him do activities that would lead him to develop</w:t>
      </w:r>
      <w:r>
        <w:t xml:space="preserve"> allergy and allergic reactions as this would trigger the condition to develop.</w:t>
      </w:r>
    </w:p>
    <w:p w:rsidR="002338F9" w:rsidRPr="002338F9" w:rsidRDefault="00195ECF" w:rsidP="007E574C">
      <w:pPr>
        <w:spacing w:line="480" w:lineRule="auto"/>
        <w:rPr>
          <w:b/>
        </w:rPr>
      </w:pPr>
      <w:r w:rsidRPr="002338F9">
        <w:rPr>
          <w:b/>
        </w:rPr>
        <w:t>Follow-Up to This Visit</w:t>
      </w:r>
    </w:p>
    <w:p w:rsidR="002338F9" w:rsidRDefault="00195ECF" w:rsidP="007E574C">
      <w:pPr>
        <w:spacing w:line="480" w:lineRule="auto"/>
        <w:ind w:firstLine="720"/>
        <w:jc w:val="left"/>
      </w:pPr>
      <w:r>
        <w:t>The patient requires periodic follow-up to assess whether the medication is working so that if there is a need to adjust or even introduce more drugs, i</w:t>
      </w:r>
      <w:r>
        <w:t>t is done timely. In addition, consultation with a dermatologist is important in case some concerns require a specialist.</w:t>
      </w:r>
    </w:p>
    <w:p w:rsidR="007E574C" w:rsidRDefault="007E574C" w:rsidP="00FF5932">
      <w:pPr>
        <w:spacing w:line="480" w:lineRule="auto"/>
        <w:jc w:val="left"/>
      </w:pPr>
    </w:p>
    <w:p w:rsidR="007E574C" w:rsidRDefault="007E574C" w:rsidP="00FF5932">
      <w:pPr>
        <w:spacing w:line="480" w:lineRule="auto"/>
        <w:jc w:val="left"/>
      </w:pPr>
    </w:p>
    <w:p w:rsidR="007E574C" w:rsidRDefault="007E574C" w:rsidP="00FF5932">
      <w:pPr>
        <w:spacing w:line="480" w:lineRule="auto"/>
        <w:jc w:val="left"/>
      </w:pPr>
    </w:p>
    <w:p w:rsidR="007E574C" w:rsidRDefault="007E574C" w:rsidP="00FF5932">
      <w:pPr>
        <w:spacing w:line="480" w:lineRule="auto"/>
        <w:jc w:val="left"/>
      </w:pPr>
    </w:p>
    <w:p w:rsidR="007E574C" w:rsidRDefault="007E574C" w:rsidP="00FF5932">
      <w:pPr>
        <w:spacing w:line="480" w:lineRule="auto"/>
        <w:jc w:val="left"/>
      </w:pPr>
    </w:p>
    <w:p w:rsidR="007E574C" w:rsidRDefault="007E574C" w:rsidP="00FF5932">
      <w:pPr>
        <w:spacing w:line="480" w:lineRule="auto"/>
        <w:jc w:val="left"/>
      </w:pPr>
    </w:p>
    <w:p w:rsidR="007E574C" w:rsidRDefault="007E574C" w:rsidP="00FF5932">
      <w:pPr>
        <w:spacing w:line="480" w:lineRule="auto"/>
        <w:jc w:val="left"/>
      </w:pPr>
    </w:p>
    <w:p w:rsidR="007E574C" w:rsidRDefault="007E574C" w:rsidP="00FF5932">
      <w:pPr>
        <w:spacing w:line="480" w:lineRule="auto"/>
        <w:jc w:val="left"/>
      </w:pPr>
    </w:p>
    <w:p w:rsidR="002338F9" w:rsidRPr="007E574C" w:rsidRDefault="00195ECF" w:rsidP="007E574C">
      <w:pPr>
        <w:spacing w:line="480" w:lineRule="auto"/>
        <w:rPr>
          <w:b/>
        </w:rPr>
      </w:pPr>
      <w:r w:rsidRPr="007E574C">
        <w:rPr>
          <w:b/>
        </w:rPr>
        <w:lastRenderedPageBreak/>
        <w:t>References</w:t>
      </w:r>
    </w:p>
    <w:p w:rsidR="007E574C" w:rsidRDefault="00195ECF" w:rsidP="007E574C">
      <w:pPr>
        <w:spacing w:line="480" w:lineRule="auto"/>
        <w:ind w:left="720" w:hanging="720"/>
        <w:jc w:val="left"/>
      </w:pPr>
      <w:r w:rsidRPr="002338F9">
        <w:t>Saeki, H., Nakahara, T., Tanaka, A., Kabashima, K., Sugaya, M., Murota, H., ... &amp; Katoh, N. (2016). Clinical practi</w:t>
      </w:r>
      <w:r w:rsidRPr="002338F9">
        <w:t>ce guidelines for the management of atopic dermatitis 2016. </w:t>
      </w:r>
      <w:r w:rsidRPr="002338F9">
        <w:rPr>
          <w:i/>
          <w:iCs/>
        </w:rPr>
        <w:t>The Journal of dermatology</w:t>
      </w:r>
      <w:r w:rsidRPr="002338F9">
        <w:t>, </w:t>
      </w:r>
      <w:r w:rsidRPr="002338F9">
        <w:rPr>
          <w:i/>
          <w:iCs/>
        </w:rPr>
        <w:t>43</w:t>
      </w:r>
      <w:r w:rsidRPr="002338F9">
        <w:t>(10), 1117-1145.</w:t>
      </w:r>
      <w:r>
        <w:t xml:space="preserve"> </w:t>
      </w:r>
      <w:hyperlink r:id="rId7" w:history="1">
        <w:r w:rsidRPr="000D698C">
          <w:rPr>
            <w:rStyle w:val="Hyperlink"/>
          </w:rPr>
          <w:t>https://onlinelibrary.wiley.com/doi/full/10.1111/1346-8138.13392</w:t>
        </w:r>
      </w:hyperlink>
    </w:p>
    <w:p w:rsidR="007E574C" w:rsidRDefault="00195ECF" w:rsidP="007E574C">
      <w:pPr>
        <w:spacing w:line="480" w:lineRule="auto"/>
        <w:ind w:left="720" w:hanging="720"/>
        <w:jc w:val="left"/>
      </w:pPr>
      <w:r w:rsidRPr="002338F9">
        <w:t xml:space="preserve">Wollenberg, A., Barbarot, S., Bieber, T., Christen‐Zaech, S., Deleuran, M., Fink‐Wagner, A., ... &amp; Czarnecka‐Operacz, M. (2018). Consensus‐based European guidelines for the treatment of atopic eczema (atopic dermatitis) in adults and children: part II. </w:t>
      </w:r>
      <w:r w:rsidRPr="002338F9">
        <w:rPr>
          <w:i/>
          <w:iCs/>
        </w:rPr>
        <w:t>Jou</w:t>
      </w:r>
      <w:r w:rsidRPr="002338F9">
        <w:rPr>
          <w:i/>
          <w:iCs/>
        </w:rPr>
        <w:t>rnal of the European Academy of Dermatology and Venereology</w:t>
      </w:r>
      <w:r w:rsidRPr="002338F9">
        <w:t>, </w:t>
      </w:r>
      <w:r w:rsidRPr="002338F9">
        <w:rPr>
          <w:i/>
          <w:iCs/>
        </w:rPr>
        <w:t>32</w:t>
      </w:r>
      <w:r w:rsidRPr="002338F9">
        <w:t>(6), 850-878.</w:t>
      </w:r>
      <w:r>
        <w:t xml:space="preserve"> </w:t>
      </w:r>
      <w:hyperlink r:id="rId8" w:history="1">
        <w:r w:rsidRPr="000D698C">
          <w:rPr>
            <w:rStyle w:val="Hyperlink"/>
          </w:rPr>
          <w:t>https://onlinelibrary.wiley.com/doi/full/10.1111/jdv.14888</w:t>
        </w:r>
      </w:hyperlink>
    </w:p>
    <w:p w:rsidR="002338F9" w:rsidRDefault="002338F9" w:rsidP="00FF5932">
      <w:pPr>
        <w:spacing w:line="480" w:lineRule="auto"/>
        <w:jc w:val="left"/>
      </w:pPr>
    </w:p>
    <w:p w:rsidR="002338F9" w:rsidRDefault="002338F9" w:rsidP="00FF5932">
      <w:pPr>
        <w:spacing w:line="480" w:lineRule="auto"/>
        <w:jc w:val="left"/>
      </w:pPr>
    </w:p>
    <w:p w:rsidR="00FF5932" w:rsidRPr="00FF5932" w:rsidRDefault="00FF5932" w:rsidP="0045346B">
      <w:pPr>
        <w:spacing w:line="480" w:lineRule="auto"/>
        <w:jc w:val="left"/>
      </w:pPr>
    </w:p>
    <w:p w:rsidR="00FF5932" w:rsidRDefault="00FF5932" w:rsidP="0045346B">
      <w:pPr>
        <w:spacing w:line="480" w:lineRule="auto"/>
        <w:jc w:val="left"/>
      </w:pPr>
    </w:p>
    <w:p w:rsidR="0045346B" w:rsidRDefault="0045346B" w:rsidP="0045346B">
      <w:pPr>
        <w:spacing w:line="480" w:lineRule="auto"/>
        <w:jc w:val="left"/>
      </w:pPr>
    </w:p>
    <w:p w:rsidR="0045346B" w:rsidRDefault="0045346B" w:rsidP="0045346B">
      <w:pPr>
        <w:spacing w:line="480" w:lineRule="auto"/>
        <w:jc w:val="left"/>
      </w:pPr>
    </w:p>
    <w:p w:rsidR="0045346B" w:rsidRDefault="0045346B" w:rsidP="0045346B">
      <w:pPr>
        <w:spacing w:line="480" w:lineRule="auto"/>
        <w:jc w:val="left"/>
      </w:pPr>
    </w:p>
    <w:p w:rsidR="0045346B" w:rsidRDefault="0045346B" w:rsidP="0045346B">
      <w:pPr>
        <w:spacing w:line="480" w:lineRule="auto"/>
        <w:jc w:val="left"/>
      </w:pPr>
    </w:p>
    <w:p w:rsidR="0045346B" w:rsidRDefault="0045346B" w:rsidP="00C82BA6">
      <w:pPr>
        <w:jc w:val="left"/>
      </w:pPr>
    </w:p>
    <w:sectPr w:rsidR="0045346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ECF" w:rsidRDefault="00195ECF" w:rsidP="001C51EA">
      <w:r>
        <w:separator/>
      </w:r>
    </w:p>
  </w:endnote>
  <w:endnote w:type="continuationSeparator" w:id="0">
    <w:p w:rsidR="00195ECF" w:rsidRDefault="00195ECF" w:rsidP="001C5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ECF" w:rsidRDefault="00195ECF" w:rsidP="001C51EA">
      <w:r>
        <w:separator/>
      </w:r>
    </w:p>
  </w:footnote>
  <w:footnote w:type="continuationSeparator" w:id="0">
    <w:p w:rsidR="00195ECF" w:rsidRDefault="00195ECF" w:rsidP="001C51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796632"/>
      <w:docPartObj>
        <w:docPartGallery w:val="Page Numbers (Top of Page)"/>
        <w:docPartUnique/>
      </w:docPartObj>
    </w:sdtPr>
    <w:sdtEndPr>
      <w:rPr>
        <w:noProof/>
      </w:rPr>
    </w:sdtEndPr>
    <w:sdtContent>
      <w:p w:rsidR="001C51EA" w:rsidRDefault="001C51E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1C51EA" w:rsidRDefault="001C51EA" w:rsidP="001C51EA">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BA6"/>
    <w:rsid w:val="00003CCB"/>
    <w:rsid w:val="000D698C"/>
    <w:rsid w:val="00195ECF"/>
    <w:rsid w:val="001C51EA"/>
    <w:rsid w:val="002338F9"/>
    <w:rsid w:val="0045346B"/>
    <w:rsid w:val="007E574C"/>
    <w:rsid w:val="00C82BA6"/>
    <w:rsid w:val="00FF5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38F9"/>
    <w:rPr>
      <w:color w:val="0000FF" w:themeColor="hyperlink"/>
      <w:u w:val="single"/>
    </w:rPr>
  </w:style>
  <w:style w:type="paragraph" w:styleId="Header">
    <w:name w:val="header"/>
    <w:basedOn w:val="Normal"/>
    <w:link w:val="HeaderChar"/>
    <w:uiPriority w:val="99"/>
    <w:unhideWhenUsed/>
    <w:rsid w:val="001C51EA"/>
    <w:pPr>
      <w:tabs>
        <w:tab w:val="center" w:pos="4680"/>
        <w:tab w:val="right" w:pos="9360"/>
      </w:tabs>
    </w:pPr>
  </w:style>
  <w:style w:type="character" w:customStyle="1" w:styleId="HeaderChar">
    <w:name w:val="Header Char"/>
    <w:basedOn w:val="DefaultParagraphFont"/>
    <w:link w:val="Header"/>
    <w:uiPriority w:val="99"/>
    <w:rsid w:val="001C51EA"/>
  </w:style>
  <w:style w:type="paragraph" w:styleId="Footer">
    <w:name w:val="footer"/>
    <w:basedOn w:val="Normal"/>
    <w:link w:val="FooterChar"/>
    <w:uiPriority w:val="99"/>
    <w:unhideWhenUsed/>
    <w:rsid w:val="001C51EA"/>
    <w:pPr>
      <w:tabs>
        <w:tab w:val="center" w:pos="4680"/>
        <w:tab w:val="right" w:pos="9360"/>
      </w:tabs>
    </w:pPr>
  </w:style>
  <w:style w:type="character" w:customStyle="1" w:styleId="FooterChar">
    <w:name w:val="Footer Char"/>
    <w:basedOn w:val="DefaultParagraphFont"/>
    <w:link w:val="Footer"/>
    <w:uiPriority w:val="99"/>
    <w:rsid w:val="001C51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38F9"/>
    <w:rPr>
      <w:color w:val="0000FF" w:themeColor="hyperlink"/>
      <w:u w:val="single"/>
    </w:rPr>
  </w:style>
  <w:style w:type="paragraph" w:styleId="Header">
    <w:name w:val="header"/>
    <w:basedOn w:val="Normal"/>
    <w:link w:val="HeaderChar"/>
    <w:uiPriority w:val="99"/>
    <w:unhideWhenUsed/>
    <w:rsid w:val="001C51EA"/>
    <w:pPr>
      <w:tabs>
        <w:tab w:val="center" w:pos="4680"/>
        <w:tab w:val="right" w:pos="9360"/>
      </w:tabs>
    </w:pPr>
  </w:style>
  <w:style w:type="character" w:customStyle="1" w:styleId="HeaderChar">
    <w:name w:val="Header Char"/>
    <w:basedOn w:val="DefaultParagraphFont"/>
    <w:link w:val="Header"/>
    <w:uiPriority w:val="99"/>
    <w:rsid w:val="001C51EA"/>
  </w:style>
  <w:style w:type="paragraph" w:styleId="Footer">
    <w:name w:val="footer"/>
    <w:basedOn w:val="Normal"/>
    <w:link w:val="FooterChar"/>
    <w:uiPriority w:val="99"/>
    <w:unhideWhenUsed/>
    <w:rsid w:val="001C51EA"/>
    <w:pPr>
      <w:tabs>
        <w:tab w:val="center" w:pos="4680"/>
        <w:tab w:val="right" w:pos="9360"/>
      </w:tabs>
    </w:pPr>
  </w:style>
  <w:style w:type="character" w:customStyle="1" w:styleId="FooterChar">
    <w:name w:val="Footer Char"/>
    <w:basedOn w:val="DefaultParagraphFont"/>
    <w:link w:val="Footer"/>
    <w:uiPriority w:val="99"/>
    <w:rsid w:val="001C5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full/10.1111/jdv.14888" TargetMode="External"/><Relationship Id="rId3" Type="http://schemas.openxmlformats.org/officeDocument/2006/relationships/settings" Target="settings.xml"/><Relationship Id="rId7" Type="http://schemas.openxmlformats.org/officeDocument/2006/relationships/hyperlink" Target="https://onlinelibrary.wiley.com/doi/full/10.1111/1346-8138.133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2020-11-19T07:31:00Z</dcterms:created>
  <dcterms:modified xsi:type="dcterms:W3CDTF">2020-11-19T08:24:00Z</dcterms:modified>
</cp:coreProperties>
</file>